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1B" w:rsidRPr="0081674B" w:rsidRDefault="00C1611B" w:rsidP="00C1611B">
      <w:pPr>
        <w:pageBreakBefore/>
        <w:jc w:val="right"/>
        <w:outlineLvl w:val="0"/>
        <w:rPr>
          <w:b/>
          <w:sz w:val="24"/>
        </w:rPr>
      </w:pPr>
      <w:bookmarkStart w:id="0" w:name="_Toc32583148"/>
      <w:r w:rsidRPr="0081674B">
        <w:rPr>
          <w:b/>
          <w:sz w:val="24"/>
        </w:rPr>
        <w:t>ПРИЛОЖЕНИЕ №3</w:t>
      </w:r>
      <w:bookmarkEnd w:id="0"/>
    </w:p>
    <w:p w:rsidR="00C1611B" w:rsidRPr="0081674B" w:rsidRDefault="00C1611B" w:rsidP="00C1611B">
      <w:pPr>
        <w:jc w:val="right"/>
        <w:rPr>
          <w:sz w:val="24"/>
        </w:rPr>
      </w:pPr>
      <w:r w:rsidRPr="0081674B">
        <w:rPr>
          <w:sz w:val="24"/>
        </w:rPr>
        <w:t>к Правилам допуска к торгам</w:t>
      </w:r>
    </w:p>
    <w:p w:rsidR="00C1611B" w:rsidRPr="0081674B" w:rsidRDefault="00C1611B" w:rsidP="00C1611B">
      <w:pPr>
        <w:jc w:val="right"/>
        <w:rPr>
          <w:rFonts w:cs="Calibri"/>
          <w:color w:val="000000"/>
          <w:sz w:val="24"/>
        </w:rPr>
      </w:pPr>
      <w:r w:rsidRPr="0081674B">
        <w:rPr>
          <w:rFonts w:cs="Calibri"/>
          <w:color w:val="000000"/>
          <w:sz w:val="24"/>
        </w:rPr>
        <w:t xml:space="preserve">Акционерного общества </w:t>
      </w:r>
    </w:p>
    <w:p w:rsidR="00C1611B" w:rsidRPr="0081674B" w:rsidRDefault="00C1611B" w:rsidP="00C1611B">
      <w:pPr>
        <w:jc w:val="right"/>
        <w:rPr>
          <w:rFonts w:cs="Calibri"/>
          <w:color w:val="000000"/>
          <w:sz w:val="24"/>
        </w:rPr>
      </w:pPr>
      <w:r w:rsidRPr="0081674B">
        <w:rPr>
          <w:rFonts w:cs="Calibri"/>
          <w:color w:val="000000"/>
          <w:sz w:val="24"/>
        </w:rPr>
        <w:t>«Санкт</w:t>
      </w:r>
      <w:r w:rsidRPr="0081674B">
        <w:rPr>
          <w:rFonts w:cs="Calibri"/>
          <w:b/>
          <w:color w:val="000000"/>
          <w:sz w:val="24"/>
        </w:rPr>
        <w:t>-</w:t>
      </w:r>
      <w:r w:rsidRPr="0081674B">
        <w:rPr>
          <w:rFonts w:cs="Calibri"/>
          <w:color w:val="000000"/>
          <w:sz w:val="24"/>
        </w:rPr>
        <w:t>Петербургская Валютная Биржа»</w:t>
      </w:r>
    </w:p>
    <w:p w:rsidR="00C1611B" w:rsidRDefault="00C1611B" w:rsidP="00C1611B">
      <w:pPr>
        <w:jc w:val="right"/>
      </w:pPr>
    </w:p>
    <w:p w:rsidR="00C1611B" w:rsidRDefault="00C1611B" w:rsidP="00C1611B">
      <w:pPr>
        <w:widowControl w:val="0"/>
        <w:ind w:firstLine="737"/>
        <w:jc w:val="center"/>
        <w:rPr>
          <w:b/>
        </w:rPr>
      </w:pPr>
      <w:r>
        <w:rPr>
          <w:b/>
        </w:rPr>
        <w:t>СОГЛАШЕНИЕ №___</w:t>
      </w:r>
    </w:p>
    <w:p w:rsidR="00C1611B" w:rsidRDefault="00C1611B" w:rsidP="00C1611B">
      <w:pPr>
        <w:widowControl w:val="0"/>
        <w:ind w:firstLine="737"/>
        <w:jc w:val="center"/>
        <w:rPr>
          <w:b/>
        </w:rPr>
      </w:pPr>
      <w:r>
        <w:rPr>
          <w:b/>
        </w:rPr>
        <w:t xml:space="preserve">о выполнении функций </w:t>
      </w:r>
      <w:proofErr w:type="spellStart"/>
      <w:r>
        <w:rPr>
          <w:b/>
        </w:rPr>
        <w:t>Маркет-мейкера</w:t>
      </w:r>
      <w:proofErr w:type="spellEnd"/>
    </w:p>
    <w:p w:rsidR="00C1611B" w:rsidRDefault="00C1611B" w:rsidP="00C1611B">
      <w:pPr>
        <w:widowControl w:val="0"/>
        <w:ind w:firstLine="737"/>
        <w:jc w:val="both"/>
        <w:rPr>
          <w:b/>
        </w:rPr>
      </w:pPr>
    </w:p>
    <w:p w:rsidR="00C1611B" w:rsidRDefault="00C1611B" w:rsidP="00C1611B">
      <w:pPr>
        <w:widowControl w:val="0"/>
        <w:ind w:firstLine="737"/>
        <w:jc w:val="both"/>
      </w:pPr>
    </w:p>
    <w:p w:rsidR="00C1611B" w:rsidRDefault="00C1611B" w:rsidP="00C1611B">
      <w:pPr>
        <w:widowControl w:val="0"/>
        <w:spacing w:after="120"/>
        <w:ind w:firstLine="737"/>
        <w:jc w:val="both"/>
      </w:pPr>
      <w:r>
        <w:t>г. Санкт</w:t>
      </w:r>
      <w:r w:rsidRPr="003418A8">
        <w:rPr>
          <w:b/>
        </w:rPr>
        <w:t>-</w:t>
      </w:r>
      <w:r>
        <w:t>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«______» ___________20__ г.</w:t>
      </w:r>
    </w:p>
    <w:p w:rsidR="00C1611B" w:rsidRDefault="00C1611B" w:rsidP="00C1611B">
      <w:pPr>
        <w:widowControl w:val="0"/>
        <w:spacing w:after="120"/>
        <w:ind w:firstLine="737"/>
        <w:jc w:val="both"/>
      </w:pPr>
    </w:p>
    <w:p w:rsidR="00C1611B" w:rsidRPr="003F4D57" w:rsidRDefault="00C1611B" w:rsidP="00C1611B">
      <w:pPr>
        <w:widowControl w:val="0"/>
        <w:ind w:firstLine="737"/>
        <w:jc w:val="both"/>
      </w:pPr>
      <w:r>
        <w:t>Акционерное общество  «Санкт</w:t>
      </w:r>
      <w:r w:rsidRPr="00657B94">
        <w:t>-</w:t>
      </w:r>
      <w:r>
        <w:t xml:space="preserve">Петербургская Валютная Биржа», именуемое в дальнейшем Биржа, в лице _______________________,  </w:t>
      </w:r>
      <w:proofErr w:type="gramStart"/>
      <w:r>
        <w:t>действующего</w:t>
      </w:r>
      <w:proofErr w:type="gramEnd"/>
      <w:r>
        <w:t xml:space="preserve"> на основании ____________________, с одной стороны, и ______________________________________, являющееся Участником торгов фондовой секции Биржи, в лице __________________________, действующего на основании </w:t>
      </w:r>
      <w:proofErr w:type="spellStart"/>
      <w:r>
        <w:t>___________________и</w:t>
      </w:r>
      <w:proofErr w:type="spellEnd"/>
      <w:r>
        <w:t xml:space="preserve"> именуемое в дальнейшем </w:t>
      </w:r>
      <w:proofErr w:type="spellStart"/>
      <w:r>
        <w:t>Маркет</w:t>
      </w:r>
      <w:r w:rsidRPr="00702939">
        <w:rPr>
          <w:b/>
        </w:rPr>
        <w:t>-</w:t>
      </w:r>
      <w:r>
        <w:t>мейкер</w:t>
      </w:r>
      <w:proofErr w:type="spellEnd"/>
      <w:r>
        <w:t>, заключили настоящее Соглашение о нижеследующем</w:t>
      </w:r>
      <w:r w:rsidRPr="005638C9">
        <w:t>:</w:t>
      </w:r>
    </w:p>
    <w:p w:rsidR="00C1611B" w:rsidRPr="006A0971" w:rsidRDefault="00C1611B" w:rsidP="00C1611B">
      <w:pPr>
        <w:widowControl w:val="0"/>
        <w:ind w:firstLine="737"/>
        <w:jc w:val="both"/>
      </w:pPr>
    </w:p>
    <w:p w:rsidR="00C1611B" w:rsidRDefault="00C1611B" w:rsidP="00C1611B">
      <w:pPr>
        <w:widowControl w:val="0"/>
        <w:spacing w:after="120"/>
        <w:ind w:left="737" w:hanging="737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Предмет Соглашения</w:t>
      </w:r>
    </w:p>
    <w:p w:rsidR="00C1611B" w:rsidRPr="003F4D57" w:rsidRDefault="00C1611B" w:rsidP="00C1611B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5638C9">
        <w:t xml:space="preserve">1.1. </w:t>
      </w:r>
      <w:proofErr w:type="spellStart"/>
      <w:r>
        <w:t>Маркет</w:t>
      </w:r>
      <w:r w:rsidRPr="00E24F96">
        <w:rPr>
          <w:b/>
        </w:rPr>
        <w:t>-</w:t>
      </w:r>
      <w:r>
        <w:t>мейкер</w:t>
      </w:r>
      <w:proofErr w:type="spellEnd"/>
      <w:r>
        <w:t xml:space="preserve"> осуществляет </w:t>
      </w:r>
      <w:r w:rsidRPr="003F4D57">
        <w:rPr>
          <w:color w:val="000000"/>
        </w:rPr>
        <w:t>поддержани</w:t>
      </w:r>
      <w:r>
        <w:rPr>
          <w:color w:val="000000"/>
        </w:rPr>
        <w:t xml:space="preserve">е </w:t>
      </w:r>
      <w:r w:rsidRPr="003F4D57">
        <w:rPr>
          <w:bCs/>
          <w:color w:val="000000"/>
        </w:rPr>
        <w:t>цен, спроса, предложения и/или объема торгов ценными бумагами</w:t>
      </w:r>
      <w:r>
        <w:rPr>
          <w:bCs/>
          <w:color w:val="000000"/>
        </w:rPr>
        <w:t xml:space="preserve"> </w:t>
      </w:r>
      <w:r w:rsidRPr="003F4D57">
        <w:rPr>
          <w:color w:val="000000"/>
        </w:rPr>
        <w:t xml:space="preserve">в ходе торгов, организуемых Биржей, на условиях, определенных </w:t>
      </w:r>
      <w:r>
        <w:rPr>
          <w:color w:val="000000"/>
        </w:rPr>
        <w:t>внутренними документами, регулирующими деятельность в фондовой секции Биржи и настоящим Соглашением в отношении ниже перечисленных ценных бумаг</w:t>
      </w:r>
      <w:r w:rsidRPr="005638C9">
        <w:rPr>
          <w:color w:val="000000"/>
        </w:rPr>
        <w:t>:</w:t>
      </w:r>
    </w:p>
    <w:p w:rsidR="00C1611B" w:rsidRPr="003F4D57" w:rsidRDefault="00C1611B" w:rsidP="00C1611B">
      <w:pPr>
        <w:widowControl w:val="0"/>
        <w:ind w:firstLine="737"/>
        <w:jc w:val="both"/>
      </w:pPr>
    </w:p>
    <w:p w:rsidR="00C1611B" w:rsidRDefault="00C1611B" w:rsidP="00C1611B">
      <w:pPr>
        <w:widowControl w:val="0"/>
        <w:spacing w:after="120"/>
        <w:ind w:firstLine="426"/>
        <w:jc w:val="both"/>
      </w:pPr>
      <w:r>
        <w:t>1. _____________________________________________________________________</w:t>
      </w:r>
      <w:proofErr w:type="gramStart"/>
      <w:r>
        <w:t xml:space="preserve"> ;</w:t>
      </w:r>
      <w:proofErr w:type="gramEnd"/>
    </w:p>
    <w:p w:rsidR="00C1611B" w:rsidRDefault="00C1611B" w:rsidP="00C1611B">
      <w:pPr>
        <w:widowControl w:val="0"/>
        <w:spacing w:after="120"/>
        <w:ind w:firstLine="426"/>
        <w:jc w:val="both"/>
      </w:pPr>
      <w:r>
        <w:t>2. _____________________________________________________________________</w:t>
      </w:r>
      <w:proofErr w:type="gramStart"/>
      <w:r>
        <w:t xml:space="preserve"> ;</w:t>
      </w:r>
      <w:proofErr w:type="gramEnd"/>
    </w:p>
    <w:p w:rsidR="00C1611B" w:rsidRDefault="00C1611B" w:rsidP="00C1611B">
      <w:pPr>
        <w:widowControl w:val="0"/>
        <w:spacing w:after="120"/>
        <w:ind w:firstLine="426"/>
        <w:jc w:val="both"/>
      </w:pPr>
      <w:r>
        <w:t>3. _____________________________________________________________________</w:t>
      </w:r>
      <w:proofErr w:type="gramStart"/>
      <w:r>
        <w:t xml:space="preserve"> ;</w:t>
      </w:r>
      <w:proofErr w:type="gramEnd"/>
    </w:p>
    <w:p w:rsidR="00C1611B" w:rsidRDefault="00C1611B" w:rsidP="00C1611B">
      <w:pPr>
        <w:widowControl w:val="0"/>
        <w:spacing w:after="120"/>
        <w:ind w:firstLine="426"/>
        <w:jc w:val="both"/>
      </w:pPr>
      <w:r>
        <w:t>4. _____________________________________________________________________</w:t>
      </w:r>
      <w:proofErr w:type="gramStart"/>
      <w:r>
        <w:t xml:space="preserve"> ;</w:t>
      </w:r>
      <w:proofErr w:type="gramEnd"/>
    </w:p>
    <w:p w:rsidR="00C1611B" w:rsidRDefault="00C1611B" w:rsidP="00C1611B">
      <w:pPr>
        <w:widowControl w:val="0"/>
        <w:spacing w:after="120"/>
        <w:ind w:firstLine="426"/>
        <w:jc w:val="both"/>
      </w:pPr>
      <w:r>
        <w:t>5. _____________________________________________________________________ .</w:t>
      </w:r>
    </w:p>
    <w:p w:rsidR="00C1611B" w:rsidRDefault="00C1611B" w:rsidP="00C1611B">
      <w:pPr>
        <w:widowControl w:val="0"/>
      </w:pPr>
      <w:r>
        <w:t xml:space="preserve">1.2.  Обязательства </w:t>
      </w:r>
      <w:proofErr w:type="spellStart"/>
      <w:r>
        <w:t>Маркет</w:t>
      </w:r>
      <w:r w:rsidRPr="00B60B5D">
        <w:rPr>
          <w:b/>
        </w:rPr>
        <w:t>-</w:t>
      </w:r>
      <w:r>
        <w:t>мейкера</w:t>
      </w:r>
      <w:proofErr w:type="spellEnd"/>
      <w:r>
        <w:t xml:space="preserve"> предусматривают следующие условия</w:t>
      </w:r>
      <w:r w:rsidRPr="005638C9">
        <w:t>:</w:t>
      </w:r>
    </w:p>
    <w:p w:rsidR="00C1611B" w:rsidRDefault="00C1611B" w:rsidP="00C1611B">
      <w:pPr>
        <w:widowControl w:val="0"/>
      </w:pPr>
      <w:r w:rsidRPr="005638C9">
        <w:t xml:space="preserve">1.2.1. </w:t>
      </w:r>
      <w:r>
        <w:t xml:space="preserve">в ходе торговой сессии </w:t>
      </w:r>
      <w:proofErr w:type="gramStart"/>
      <w:r>
        <w:t>подавать и постоянно поддерживать</w:t>
      </w:r>
      <w:proofErr w:type="gramEnd"/>
      <w:r>
        <w:t xml:space="preserve"> в Системе торгов заявки на покупку и на продажу ценных бумаг, указанных в разделе 1 Соглашения с ценовыми условиями в границах следующих торговых параметров</w:t>
      </w:r>
      <w:r w:rsidRPr="005638C9">
        <w:t>:</w:t>
      </w:r>
    </w:p>
    <w:p w:rsidR="00C1611B" w:rsidRDefault="00C1611B" w:rsidP="00C1611B">
      <w:pPr>
        <w:pStyle w:val="-51"/>
        <w:widowControl w:val="0"/>
        <w:numPr>
          <w:ilvl w:val="0"/>
          <w:numId w:val="1"/>
        </w:numPr>
        <w:ind w:left="709" w:hanging="286"/>
        <w:jc w:val="both"/>
        <w:rPr>
          <w:sz w:val="22"/>
        </w:rPr>
      </w:pPr>
      <w:r>
        <w:rPr>
          <w:sz w:val="22"/>
        </w:rPr>
        <w:t>спрэд двусторонней котировки (ед. измерения), не более</w:t>
      </w:r>
      <w:proofErr w:type="gramStart"/>
      <w:r>
        <w:rPr>
          <w:sz w:val="22"/>
        </w:rPr>
        <w:t xml:space="preserve"> </w:t>
      </w:r>
      <w:r w:rsidRPr="00702939">
        <w:rPr>
          <w:b/>
          <w:sz w:val="22"/>
        </w:rPr>
        <w:t>-</w:t>
      </w:r>
      <w:r>
        <w:rPr>
          <w:sz w:val="22"/>
        </w:rPr>
        <w:t xml:space="preserve">  ________________;</w:t>
      </w:r>
      <w:proofErr w:type="gramEnd"/>
    </w:p>
    <w:p w:rsidR="00C1611B" w:rsidRDefault="00C1611B" w:rsidP="00C1611B">
      <w:pPr>
        <w:pStyle w:val="-51"/>
        <w:widowControl w:val="0"/>
        <w:numPr>
          <w:ilvl w:val="0"/>
          <w:numId w:val="1"/>
        </w:numPr>
        <w:ind w:left="709" w:hanging="286"/>
        <w:jc w:val="both"/>
        <w:rPr>
          <w:sz w:val="22"/>
        </w:rPr>
      </w:pPr>
      <w:r>
        <w:rPr>
          <w:sz w:val="22"/>
        </w:rPr>
        <w:t>объем двусторонней котировки (ед. измерения), не менее</w:t>
      </w:r>
      <w:proofErr w:type="gramStart"/>
      <w:r>
        <w:rPr>
          <w:sz w:val="22"/>
        </w:rPr>
        <w:t xml:space="preserve"> </w:t>
      </w:r>
      <w:r w:rsidRPr="00702939">
        <w:rPr>
          <w:b/>
          <w:sz w:val="22"/>
        </w:rPr>
        <w:t>-</w:t>
      </w:r>
      <w:r>
        <w:rPr>
          <w:sz w:val="22"/>
        </w:rPr>
        <w:t xml:space="preserve"> ________________;</w:t>
      </w:r>
      <w:proofErr w:type="gramEnd"/>
    </w:p>
    <w:p w:rsidR="00C1611B" w:rsidRDefault="00C1611B" w:rsidP="00C1611B">
      <w:pPr>
        <w:pStyle w:val="-51"/>
        <w:widowControl w:val="0"/>
        <w:numPr>
          <w:ilvl w:val="0"/>
          <w:numId w:val="1"/>
        </w:numPr>
        <w:ind w:left="709" w:hanging="286"/>
        <w:jc w:val="both"/>
        <w:rPr>
          <w:sz w:val="22"/>
        </w:rPr>
      </w:pPr>
      <w:r>
        <w:rPr>
          <w:sz w:val="22"/>
        </w:rPr>
        <w:t xml:space="preserve">время поддержания </w:t>
      </w:r>
      <w:proofErr w:type="gramStart"/>
      <w:r>
        <w:rPr>
          <w:sz w:val="22"/>
        </w:rPr>
        <w:t>двусторонних</w:t>
      </w:r>
      <w:proofErr w:type="gramEnd"/>
      <w:r>
        <w:rPr>
          <w:sz w:val="22"/>
        </w:rPr>
        <w:t xml:space="preserve"> котировки (ед. измерения), не менее </w:t>
      </w:r>
      <w:r w:rsidRPr="00702939">
        <w:rPr>
          <w:b/>
          <w:sz w:val="22"/>
        </w:rPr>
        <w:t>-</w:t>
      </w:r>
      <w:r>
        <w:rPr>
          <w:sz w:val="22"/>
        </w:rPr>
        <w:t xml:space="preserve"> ______________;</w:t>
      </w:r>
    </w:p>
    <w:p w:rsidR="00C1611B" w:rsidRPr="00361605" w:rsidRDefault="00C1611B" w:rsidP="00C1611B">
      <w:pPr>
        <w:pStyle w:val="-51"/>
        <w:widowControl w:val="0"/>
        <w:numPr>
          <w:ilvl w:val="0"/>
          <w:numId w:val="1"/>
        </w:numPr>
        <w:ind w:left="709" w:hanging="286"/>
        <w:jc w:val="both"/>
        <w:rPr>
          <w:sz w:val="22"/>
        </w:rPr>
      </w:pPr>
      <w:r>
        <w:rPr>
          <w:sz w:val="22"/>
        </w:rPr>
        <w:t xml:space="preserve">максимальный объем сделок, заключенных на основании двусторонних котировок, по достижении которого </w:t>
      </w:r>
      <w:proofErr w:type="spellStart"/>
      <w:r>
        <w:rPr>
          <w:sz w:val="22"/>
        </w:rPr>
        <w:t>Маркет</w:t>
      </w:r>
      <w:r w:rsidRPr="00702939">
        <w:rPr>
          <w:b/>
          <w:sz w:val="22"/>
        </w:rPr>
        <w:t>-</w:t>
      </w:r>
      <w:r>
        <w:rPr>
          <w:sz w:val="22"/>
        </w:rPr>
        <w:t>мейкер</w:t>
      </w:r>
      <w:proofErr w:type="spellEnd"/>
      <w:r>
        <w:rPr>
          <w:sz w:val="22"/>
        </w:rPr>
        <w:t xml:space="preserve"> освобождается от обязанности по поддержанию двусторонних котировок или обязывается выставлять заявки только на покупку или только заявки на продажу, не менее </w:t>
      </w:r>
      <w:r w:rsidRPr="00702939">
        <w:rPr>
          <w:b/>
          <w:sz w:val="22"/>
        </w:rPr>
        <w:t>-</w:t>
      </w:r>
      <w:r>
        <w:rPr>
          <w:sz w:val="22"/>
        </w:rPr>
        <w:t xml:space="preserve"> ___________________.</w:t>
      </w:r>
    </w:p>
    <w:p w:rsidR="00C1611B" w:rsidRDefault="00C1611B" w:rsidP="00C1611B">
      <w:pPr>
        <w:pStyle w:val="-51"/>
        <w:widowControl w:val="0"/>
        <w:ind w:left="0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1.2.2. с</w:t>
      </w:r>
      <w:r w:rsidRPr="005638C9">
        <w:rPr>
          <w:color w:val="000000"/>
          <w:sz w:val="22"/>
          <w:szCs w:val="22"/>
        </w:rPr>
        <w:t>овершать сделки только от своего имени и за свой счет либо от своего имени и за счет клиента (при наличии соответствующих поручений клиента)</w:t>
      </w:r>
      <w:r w:rsidRPr="005638C9">
        <w:rPr>
          <w:iCs/>
          <w:color w:val="000000"/>
          <w:sz w:val="22"/>
          <w:szCs w:val="22"/>
        </w:rPr>
        <w:t>.</w:t>
      </w:r>
    </w:p>
    <w:p w:rsidR="00C1611B" w:rsidRDefault="00C1611B" w:rsidP="00C1611B">
      <w:pPr>
        <w:pStyle w:val="-51"/>
        <w:widowControl w:val="0"/>
        <w:ind w:left="0"/>
        <w:jc w:val="both"/>
        <w:rPr>
          <w:iCs/>
          <w:color w:val="000000"/>
          <w:sz w:val="22"/>
          <w:szCs w:val="22"/>
        </w:rPr>
      </w:pPr>
    </w:p>
    <w:p w:rsidR="00C1611B" w:rsidRDefault="00C1611B" w:rsidP="00C1611B">
      <w:pPr>
        <w:pStyle w:val="-51"/>
        <w:widowControl w:val="0"/>
        <w:ind w:left="0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Права и обязанности Сторон</w:t>
      </w:r>
    </w:p>
    <w:p w:rsidR="00C1611B" w:rsidRPr="00361605" w:rsidRDefault="00C1611B" w:rsidP="00C1611B">
      <w:pPr>
        <w:pStyle w:val="-51"/>
        <w:widowControl w:val="0"/>
        <w:ind w:left="0"/>
        <w:jc w:val="both"/>
        <w:rPr>
          <w:sz w:val="22"/>
        </w:rPr>
      </w:pPr>
    </w:p>
    <w:p w:rsidR="00C1611B" w:rsidRDefault="00C1611B" w:rsidP="00C1611B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2.1. </w:t>
      </w:r>
      <w:proofErr w:type="spellStart"/>
      <w:r>
        <w:rPr>
          <w:rFonts w:cs="Arial"/>
          <w:color w:val="000000"/>
        </w:rPr>
        <w:t>Маркет-мейкер</w:t>
      </w:r>
      <w:proofErr w:type="spellEnd"/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обязан</w:t>
      </w:r>
      <w:proofErr w:type="gramEnd"/>
      <w:r>
        <w:rPr>
          <w:rFonts w:cs="Arial"/>
          <w:color w:val="000000"/>
        </w:rPr>
        <w:t xml:space="preserve"> подавать заявки, которые адресованы (информация о которых раскрывается) всем Участникам торгов.</w:t>
      </w:r>
    </w:p>
    <w:p w:rsidR="00C1611B" w:rsidRDefault="00C1611B" w:rsidP="00C1611B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2.2. </w:t>
      </w:r>
      <w:proofErr w:type="spellStart"/>
      <w:r>
        <w:rPr>
          <w:rFonts w:cs="Arial"/>
          <w:color w:val="000000"/>
        </w:rPr>
        <w:t>Маркет-мейкер</w:t>
      </w:r>
      <w:proofErr w:type="spellEnd"/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обязан</w:t>
      </w:r>
      <w:proofErr w:type="gramEnd"/>
      <w:r>
        <w:rPr>
          <w:rFonts w:cs="Arial"/>
          <w:color w:val="000000"/>
        </w:rPr>
        <w:t xml:space="preserve"> оплачивать услуги Биржи в соответствии с п.3 Соглашения.</w:t>
      </w:r>
    </w:p>
    <w:p w:rsidR="00C1611B" w:rsidRDefault="00C1611B" w:rsidP="00C1611B">
      <w:pPr>
        <w:tabs>
          <w:tab w:val="left" w:pos="-2880"/>
          <w:tab w:val="left" w:pos="0"/>
        </w:tabs>
        <w:spacing w:before="60" w:after="60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2.3. В </w:t>
      </w:r>
      <w:proofErr w:type="gramStart"/>
      <w:r>
        <w:rPr>
          <w:rFonts w:cs="Arial"/>
          <w:color w:val="000000"/>
        </w:rPr>
        <w:t>случаях</w:t>
      </w:r>
      <w:proofErr w:type="gramEnd"/>
      <w:r>
        <w:rPr>
          <w:rFonts w:cs="Arial"/>
          <w:color w:val="000000"/>
        </w:rPr>
        <w:t xml:space="preserve"> приостановки или прекращения торгов ценными бумагами, указанными в разделе 1 Соглашения, в режимах торгов, для которых определены обязательства </w:t>
      </w:r>
      <w:proofErr w:type="spellStart"/>
      <w:r>
        <w:rPr>
          <w:rFonts w:cs="Arial"/>
          <w:color w:val="000000"/>
        </w:rPr>
        <w:t>Маркет</w:t>
      </w:r>
      <w:r w:rsidRPr="00C86E89">
        <w:rPr>
          <w:rFonts w:cs="Arial"/>
          <w:b/>
          <w:color w:val="000000"/>
        </w:rPr>
        <w:t>-</w:t>
      </w:r>
      <w:r>
        <w:rPr>
          <w:rFonts w:cs="Arial"/>
          <w:color w:val="000000"/>
        </w:rPr>
        <w:t>мейкера</w:t>
      </w:r>
      <w:proofErr w:type="spellEnd"/>
      <w:r>
        <w:rPr>
          <w:rFonts w:cs="Arial"/>
          <w:color w:val="000000"/>
        </w:rPr>
        <w:t>, исполнение обязательств сторон по Соглашению по данным ценным бумагам приостанавливается на период приостановки торгов или прекращается соответственно.</w:t>
      </w:r>
    </w:p>
    <w:p w:rsidR="00C1611B" w:rsidRDefault="00C1611B" w:rsidP="00C1611B">
      <w:pPr>
        <w:autoSpaceDE w:val="0"/>
        <w:autoSpaceDN w:val="0"/>
        <w:adjustRightInd w:val="0"/>
        <w:rPr>
          <w:rFonts w:cs="Arial"/>
          <w:color w:val="000000"/>
        </w:rPr>
      </w:pPr>
    </w:p>
    <w:p w:rsidR="00C1611B" w:rsidRDefault="00C1611B" w:rsidP="00C1611B">
      <w:pPr>
        <w:spacing w:after="120"/>
        <w:ind w:left="737" w:hanging="737"/>
        <w:jc w:val="both"/>
        <w:rPr>
          <w:b/>
          <w:bCs/>
        </w:rPr>
      </w:pPr>
      <w:r>
        <w:rPr>
          <w:b/>
          <w:bCs/>
        </w:rPr>
        <w:lastRenderedPageBreak/>
        <w:t>3.</w:t>
      </w:r>
      <w:r>
        <w:rPr>
          <w:b/>
          <w:bCs/>
        </w:rPr>
        <w:tab/>
        <w:t>Условия расчетов</w:t>
      </w:r>
    </w:p>
    <w:p w:rsidR="00C1611B" w:rsidRDefault="00C1611B" w:rsidP="00C1611B">
      <w:pPr>
        <w:autoSpaceDE w:val="0"/>
        <w:autoSpaceDN w:val="0"/>
        <w:adjustRightInd w:val="0"/>
        <w:jc w:val="both"/>
      </w:pPr>
      <w:r>
        <w:t>3.1.</w:t>
      </w:r>
      <w:r>
        <w:tab/>
      </w:r>
      <w:proofErr w:type="spellStart"/>
      <w:r w:rsidRPr="002F62A4">
        <w:t>Маркет-мейкер</w:t>
      </w:r>
      <w:proofErr w:type="spellEnd"/>
      <w:r w:rsidRPr="002F62A4">
        <w:t xml:space="preserve"> выплачивает Бирже комиссионное вознаграждение в соответствии с Тарифами для </w:t>
      </w:r>
      <w:r>
        <w:t>У</w:t>
      </w:r>
      <w:r w:rsidRPr="002F62A4">
        <w:t>частников торгов в фондовой</w:t>
      </w:r>
      <w:r>
        <w:t xml:space="preserve"> секции АО СПВБ. </w:t>
      </w:r>
    </w:p>
    <w:p w:rsidR="00C1611B" w:rsidRDefault="00C1611B" w:rsidP="00C1611B">
      <w:pPr>
        <w:autoSpaceDE w:val="0"/>
        <w:autoSpaceDN w:val="0"/>
        <w:adjustRightInd w:val="0"/>
        <w:jc w:val="both"/>
      </w:pPr>
    </w:p>
    <w:p w:rsidR="00C1611B" w:rsidRPr="00350FB6" w:rsidRDefault="00C1611B" w:rsidP="00C1611B">
      <w:pPr>
        <w:spacing w:after="120"/>
        <w:ind w:left="737" w:hanging="737"/>
        <w:jc w:val="both"/>
      </w:pPr>
      <w:r>
        <w:rPr>
          <w:b/>
        </w:rPr>
        <w:t>4</w:t>
      </w:r>
      <w:r w:rsidRPr="00D0345A">
        <w:rPr>
          <w:b/>
        </w:rPr>
        <w:t>.</w:t>
      </w:r>
      <w:r w:rsidRPr="00D0345A">
        <w:rPr>
          <w:b/>
        </w:rPr>
        <w:tab/>
        <w:t>Порядок разрешени</w:t>
      </w:r>
      <w:r>
        <w:rPr>
          <w:b/>
        </w:rPr>
        <w:t>я споров</w:t>
      </w:r>
    </w:p>
    <w:p w:rsidR="00C1611B" w:rsidRDefault="00C1611B" w:rsidP="00C1611B">
      <w:pPr>
        <w:autoSpaceDE w:val="0"/>
        <w:autoSpaceDN w:val="0"/>
        <w:adjustRightInd w:val="0"/>
        <w:jc w:val="both"/>
      </w:pPr>
      <w:r>
        <w:t>4.1.</w:t>
      </w:r>
      <w:r>
        <w:tab/>
        <w:t xml:space="preserve">Все споры и разногласия, вытекающие из настоящего Соглашения или в связи с ним, в том числе касающиеся его исполнения, нарушения или действительности, подлежат разрешению путем переговоров, а в случае невозможности решения споров указанным способом они будут решаться в Арбитражном Суде </w:t>
      </w:r>
      <w:proofErr w:type="gramStart"/>
      <w:r>
        <w:t>г</w:t>
      </w:r>
      <w:proofErr w:type="gramEnd"/>
      <w:r>
        <w:t>. Санкт-Петербурга и Ленинградской области.</w:t>
      </w:r>
    </w:p>
    <w:p w:rsidR="00C1611B" w:rsidRPr="00350FB6" w:rsidRDefault="00C1611B" w:rsidP="00C1611B">
      <w:pPr>
        <w:autoSpaceDE w:val="0"/>
        <w:autoSpaceDN w:val="0"/>
        <w:adjustRightInd w:val="0"/>
        <w:jc w:val="both"/>
        <w:rPr>
          <w:b/>
        </w:rPr>
      </w:pPr>
    </w:p>
    <w:p w:rsidR="00C1611B" w:rsidRPr="00361605" w:rsidRDefault="00C1611B" w:rsidP="00C1611B">
      <w:pPr>
        <w:spacing w:after="120"/>
        <w:ind w:left="737" w:hanging="737"/>
        <w:jc w:val="both"/>
      </w:pPr>
      <w:r>
        <w:rPr>
          <w:b/>
        </w:rPr>
        <w:t>5.</w:t>
      </w:r>
      <w:r>
        <w:rPr>
          <w:b/>
        </w:rPr>
        <w:tab/>
        <w:t>Срок действия Соглашения</w:t>
      </w:r>
    </w:p>
    <w:p w:rsidR="00C1611B" w:rsidRDefault="00C1611B" w:rsidP="00C1611B">
      <w:pPr>
        <w:widowControl w:val="0"/>
        <w:spacing w:after="120"/>
        <w:jc w:val="both"/>
      </w:pPr>
      <w:r>
        <w:t xml:space="preserve">5.1. Настоящее Соглашение вступает в силу  «______» _______________ 20____ г. и действует до 31 декабря 20______ г. Соглашение считается продленным на каждый последующий год, если ни одна из сторон письменно не заявит о его расторжении. </w:t>
      </w:r>
    </w:p>
    <w:p w:rsidR="00C1611B" w:rsidRDefault="00C1611B" w:rsidP="00C1611B">
      <w:pPr>
        <w:spacing w:after="120"/>
        <w:ind w:left="737" w:hanging="737"/>
        <w:jc w:val="both"/>
        <w:rPr>
          <w:b/>
        </w:rPr>
      </w:pPr>
    </w:p>
    <w:p w:rsidR="00C1611B" w:rsidRDefault="00C1611B" w:rsidP="00C1611B">
      <w:pPr>
        <w:spacing w:after="120"/>
        <w:ind w:left="737" w:hanging="737"/>
        <w:jc w:val="both"/>
        <w:rPr>
          <w:b/>
        </w:rPr>
      </w:pPr>
    </w:p>
    <w:p w:rsidR="00C1611B" w:rsidRDefault="00C1611B" w:rsidP="00C1611B">
      <w:pPr>
        <w:spacing w:after="120"/>
        <w:ind w:left="737" w:hanging="737"/>
        <w:jc w:val="both"/>
        <w:rPr>
          <w:b/>
        </w:rPr>
      </w:pPr>
    </w:p>
    <w:p w:rsidR="00C1611B" w:rsidRDefault="00C1611B" w:rsidP="00C1611B">
      <w:pPr>
        <w:spacing w:after="120"/>
        <w:ind w:left="737" w:hanging="737"/>
        <w:jc w:val="both"/>
        <w:rPr>
          <w:b/>
        </w:rPr>
      </w:pPr>
      <w:r>
        <w:rPr>
          <w:b/>
        </w:rPr>
        <w:t>Реквизиты сторон:</w:t>
      </w:r>
    </w:p>
    <w:p w:rsidR="00C1611B" w:rsidRDefault="00C1611B" w:rsidP="00C1611B">
      <w:pPr>
        <w:spacing w:after="120"/>
        <w:ind w:left="737" w:hanging="737"/>
        <w:jc w:val="both"/>
      </w:pPr>
      <w:r>
        <w:rPr>
          <w:u w:val="single"/>
        </w:rPr>
        <w:t>Биржа</w:t>
      </w:r>
      <w:r>
        <w:t xml:space="preserve">: </w:t>
      </w:r>
    </w:p>
    <w:p w:rsidR="00C1611B" w:rsidRDefault="00C1611B" w:rsidP="00C1611B">
      <w:pPr>
        <w:spacing w:after="120"/>
        <w:ind w:left="737" w:hanging="737"/>
        <w:jc w:val="both"/>
        <w:rPr>
          <w:u w:val="single"/>
        </w:rPr>
      </w:pPr>
      <w:proofErr w:type="spellStart"/>
      <w:r>
        <w:rPr>
          <w:u w:val="single"/>
        </w:rPr>
        <w:t>Маркет</w:t>
      </w:r>
      <w:r w:rsidRPr="00702939">
        <w:rPr>
          <w:b/>
          <w:u w:val="single"/>
        </w:rPr>
        <w:t>-</w:t>
      </w:r>
      <w:r>
        <w:rPr>
          <w:u w:val="single"/>
        </w:rPr>
        <w:t>мейкер</w:t>
      </w:r>
      <w:proofErr w:type="spellEnd"/>
      <w:r>
        <w:rPr>
          <w:u w:val="single"/>
        </w:rPr>
        <w:t>:</w:t>
      </w:r>
    </w:p>
    <w:p w:rsidR="00C1611B" w:rsidRDefault="00C1611B" w:rsidP="00C1611B">
      <w:pPr>
        <w:spacing w:after="120"/>
        <w:ind w:left="737" w:hanging="737"/>
        <w:jc w:val="both"/>
        <w:rPr>
          <w:b/>
        </w:rPr>
      </w:pPr>
      <w:r>
        <w:rPr>
          <w:b/>
        </w:rPr>
        <w:t>Подписи сторон:</w:t>
      </w:r>
    </w:p>
    <w:p w:rsidR="00C1611B" w:rsidRDefault="00C1611B" w:rsidP="00C1611B">
      <w:pPr>
        <w:spacing w:after="120"/>
        <w:ind w:left="737" w:hanging="737"/>
        <w:jc w:val="both"/>
      </w:pPr>
      <w:r>
        <w:rPr>
          <w:u w:val="single"/>
        </w:rPr>
        <w:t>От Биржи</w:t>
      </w:r>
      <w:r>
        <w:t xml:space="preserve">: </w:t>
      </w:r>
    </w:p>
    <w:p w:rsidR="00C1611B" w:rsidRDefault="00C1611B" w:rsidP="00C1611B">
      <w:pPr>
        <w:spacing w:after="120"/>
        <w:ind w:left="737" w:hanging="737"/>
        <w:jc w:val="both"/>
        <w:rPr>
          <w:u w:val="single"/>
        </w:rPr>
      </w:pPr>
      <w:r>
        <w:rPr>
          <w:u w:val="single"/>
        </w:rPr>
        <w:t xml:space="preserve">От </w:t>
      </w:r>
      <w:proofErr w:type="spellStart"/>
      <w:r>
        <w:rPr>
          <w:u w:val="single"/>
        </w:rPr>
        <w:t>Маркет</w:t>
      </w:r>
      <w:r w:rsidRPr="00702939">
        <w:rPr>
          <w:b/>
          <w:u w:val="single"/>
        </w:rPr>
        <w:t>-</w:t>
      </w:r>
      <w:r>
        <w:rPr>
          <w:u w:val="single"/>
        </w:rPr>
        <w:t>мейкера</w:t>
      </w:r>
      <w:proofErr w:type="spellEnd"/>
      <w:r>
        <w:rPr>
          <w:u w:val="single"/>
        </w:rPr>
        <w:t>:</w:t>
      </w:r>
    </w:p>
    <w:p w:rsidR="00C1611B" w:rsidRDefault="00C1611B" w:rsidP="00C1611B">
      <w:pPr>
        <w:jc w:val="right"/>
      </w:pPr>
      <w:r>
        <w:t>М.П.</w:t>
      </w:r>
      <w:r>
        <w:tab/>
      </w:r>
    </w:p>
    <w:p w:rsidR="007E7F4B" w:rsidRDefault="007E7F4B"/>
    <w:sectPr w:rsidR="007E7F4B" w:rsidSect="007E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3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11B"/>
    <w:rsid w:val="000F4C93"/>
    <w:rsid w:val="001B241D"/>
    <w:rsid w:val="003E4CB2"/>
    <w:rsid w:val="0060650F"/>
    <w:rsid w:val="007E7F4B"/>
    <w:rsid w:val="00C1611B"/>
    <w:rsid w:val="00DB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1B"/>
    <w:pPr>
      <w:suppressAutoHyphens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51">
    <w:name w:val="Темный список - Акцент 51"/>
    <w:basedOn w:val="a"/>
    <w:qFormat/>
    <w:rsid w:val="00C1611B"/>
    <w:pPr>
      <w:ind w:left="7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2020-09-15T15:06:00Z</dcterms:created>
  <dcterms:modified xsi:type="dcterms:W3CDTF">2020-09-15T15:09:00Z</dcterms:modified>
</cp:coreProperties>
</file>